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477609" w:rsidRPr="00641B52" w14:paraId="77B0420E" w14:textId="77777777" w:rsidTr="00C53A2D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0EA156" w14:textId="77777777" w:rsidR="00477609" w:rsidRPr="00A53B34" w:rsidRDefault="00477609" w:rsidP="00C53A2D">
            <w:pPr>
              <w:spacing w:after="120"/>
              <w:rPr>
                <w:rFonts w:ascii="Arial Nova" w:hAnsi="Arial Nova" w:cs="Times New Roman"/>
                <w:b/>
                <w:sz w:val="18"/>
                <w:szCs w:val="18"/>
              </w:rPr>
            </w:pPr>
            <w:proofErr w:type="spellStart"/>
            <w:r w:rsidRPr="00A53B34">
              <w:rPr>
                <w:rFonts w:ascii="Arial Nova" w:hAnsi="Arial Nova" w:cs="Times New Roman"/>
                <w:b/>
                <w:sz w:val="18"/>
                <w:szCs w:val="18"/>
              </w:rPr>
              <w:t>Negative</w:t>
            </w:r>
            <w:proofErr w:type="spellEnd"/>
            <w:r w:rsidRPr="00A53B34">
              <w:rPr>
                <w:rFonts w:ascii="Arial Nova" w:hAnsi="Arial Nov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53B34">
              <w:rPr>
                <w:rFonts w:ascii="Arial Nova" w:hAnsi="Arial Nova" w:cs="Times New Roman"/>
                <w:b/>
                <w:sz w:val="18"/>
                <w:szCs w:val="18"/>
              </w:rPr>
              <w:t>control</w:t>
            </w:r>
            <w:proofErr w:type="spellEnd"/>
            <w:r w:rsidRPr="00A53B34">
              <w:rPr>
                <w:rFonts w:ascii="Arial Nova" w:hAnsi="Arial Nov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53B34">
              <w:rPr>
                <w:rFonts w:ascii="Arial Nova" w:hAnsi="Arial Nova" w:cs="Times New Roman"/>
                <w:b/>
                <w:sz w:val="18"/>
                <w:szCs w:val="18"/>
              </w:rPr>
              <w:t>siRNA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445034B0" w14:textId="77777777" w:rsidR="00477609" w:rsidRPr="00641B52" w:rsidRDefault="00477609" w:rsidP="00477609">
            <w:pPr>
              <w:pStyle w:val="ListeParagraf"/>
              <w:numPr>
                <w:ilvl w:val="0"/>
                <w:numId w:val="1"/>
              </w:numPr>
              <w:spacing w:after="0"/>
              <w:ind w:left="471" w:hanging="288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5 nmol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50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μM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konsantrasyonda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olmalıdır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  <w:p w14:paraId="5402129C" w14:textId="77777777" w:rsidR="00477609" w:rsidRPr="00641B52" w:rsidRDefault="00477609" w:rsidP="00477609">
            <w:pPr>
              <w:pStyle w:val="ListeParagraf"/>
              <w:numPr>
                <w:ilvl w:val="0"/>
                <w:numId w:val="1"/>
              </w:numPr>
              <w:spacing w:after="0"/>
              <w:ind w:left="471" w:hanging="288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saklama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buffer ı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nın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yapısı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(20 mM Potassium Acetate, 6 mM HEPES-KOH pH 7.4, 0.4 mM Magnesium Acetate)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şeklinde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</w:p>
          <w:p w14:paraId="6E90E03B" w14:textId="77777777" w:rsidR="00477609" w:rsidRPr="00641B52" w:rsidRDefault="00477609" w:rsidP="00477609">
            <w:pPr>
              <w:pStyle w:val="ListeParagraf"/>
              <w:numPr>
                <w:ilvl w:val="0"/>
                <w:numId w:val="1"/>
              </w:numPr>
              <w:spacing w:after="0"/>
              <w:ind w:left="471" w:hanging="288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Negatif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kontrol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siRNA'ları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—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herhangi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gen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ürününü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hedeflemeyen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dizilere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sahip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siRNA'lar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- siRNA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transfeksiyon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etkinliğinin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belirlenmesi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siRNA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iletiminin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etkilerinin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kontrol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edilmesi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için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üretilmiş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  <w:p w14:paraId="46F73769" w14:textId="77777777" w:rsidR="00477609" w:rsidRPr="00641B52" w:rsidRDefault="00477609" w:rsidP="00477609">
            <w:pPr>
              <w:pStyle w:val="ListeParagraf"/>
              <w:numPr>
                <w:ilvl w:val="0"/>
                <w:numId w:val="1"/>
              </w:numPr>
              <w:spacing w:after="0"/>
              <w:ind w:left="471" w:hanging="288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Susturucu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Negatif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Kontrol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siRNA'ları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fare,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sıçan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veya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insan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transkript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dizileri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.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Susturucu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Negatif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Kontrol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siRNA'ları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birden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fazla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hücre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hattında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test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edilmiş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hücre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proliferasyonu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apoptoz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veya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hücre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morfolojisi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üzerinde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önemli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etkisi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</w:t>
            </w:r>
            <w:proofErr w:type="spellEnd"/>
          </w:p>
          <w:p w14:paraId="15159A47" w14:textId="77777777" w:rsidR="00477609" w:rsidRPr="00641B52" w:rsidRDefault="00477609" w:rsidP="00477609">
            <w:pPr>
              <w:pStyle w:val="ListeParagraf"/>
              <w:numPr>
                <w:ilvl w:val="0"/>
                <w:numId w:val="1"/>
              </w:numPr>
              <w:spacing w:after="0"/>
              <w:ind w:left="471" w:hanging="288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; Sens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antisens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Negatif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Kontrol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siRNA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zincirleri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kimyasal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olarak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sentezlenir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HPLC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ile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saflaştırılır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tavlanmalı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Bu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Negatif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Kontrol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siRNA,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transfekte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edilmeye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hazır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olarak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sağlanmalıdır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. </w:t>
            </w:r>
          </w:p>
          <w:p w14:paraId="78CC552E" w14:textId="77777777" w:rsidR="00477609" w:rsidRPr="00641B52" w:rsidRDefault="00477609" w:rsidP="00477609">
            <w:pPr>
              <w:pStyle w:val="ListeParagraf"/>
              <w:numPr>
                <w:ilvl w:val="0"/>
                <w:numId w:val="1"/>
              </w:numPr>
              <w:spacing w:after="0"/>
              <w:ind w:left="471" w:hanging="288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siRNA'lar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–20°C'de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veya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altında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donmayan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dondurucuda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güvenli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şekilde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bölüme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teslim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edilmeli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. Uygun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saklama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transport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koşullarına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uyulmayan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ürünler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için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ücretsiz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değişimi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istenecektir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.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teslimatı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elden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asla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kargo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ile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gelen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kabul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edilmeyecektir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  <w:p w14:paraId="51ECB92D" w14:textId="77777777" w:rsidR="00477609" w:rsidRPr="00641B52" w:rsidRDefault="00477609" w:rsidP="00477609">
            <w:pPr>
              <w:pStyle w:val="ListeParagraf"/>
              <w:numPr>
                <w:ilvl w:val="0"/>
                <w:numId w:val="1"/>
              </w:numPr>
              <w:spacing w:after="0"/>
              <w:ind w:left="471" w:hanging="288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veren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firmanın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Türkiye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yetkili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satıcılık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belgesi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</w:t>
            </w:r>
            <w:proofErr w:type="spellEnd"/>
          </w:p>
          <w:p w14:paraId="0188C9BE" w14:textId="77777777" w:rsidR="00477609" w:rsidRPr="00641B52" w:rsidRDefault="00477609" w:rsidP="00477609">
            <w:pPr>
              <w:pStyle w:val="ListeParagraf"/>
              <w:numPr>
                <w:ilvl w:val="0"/>
                <w:numId w:val="1"/>
              </w:numPr>
              <w:spacing w:after="0"/>
              <w:ind w:left="471" w:hanging="288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değerlendirme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öncesi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bölümden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numune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uygunluğu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almalıdır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</w:tc>
      </w:tr>
      <w:tr w:rsidR="00477609" w:rsidRPr="00641B52" w14:paraId="6AE89D54" w14:textId="77777777" w:rsidTr="00C53A2D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E31098" w14:textId="77777777" w:rsidR="00477609" w:rsidRPr="00A53B34" w:rsidRDefault="00477609" w:rsidP="00C53A2D">
            <w:pPr>
              <w:spacing w:after="120"/>
              <w:rPr>
                <w:rFonts w:ascii="Arial Nova" w:hAnsi="Arial Nova" w:cs="Times New Roman"/>
                <w:b/>
                <w:sz w:val="18"/>
                <w:szCs w:val="18"/>
              </w:rPr>
            </w:pPr>
            <w:r>
              <w:rPr>
                <w:rFonts w:ascii="Arial Nova" w:hAnsi="Arial Nova" w:cs="Times New Roman"/>
                <w:b/>
                <w:sz w:val="18"/>
                <w:szCs w:val="18"/>
              </w:rPr>
              <w:t xml:space="preserve">Aktin </w:t>
            </w:r>
            <w:proofErr w:type="spellStart"/>
            <w:r>
              <w:rPr>
                <w:rFonts w:ascii="Arial Nova" w:hAnsi="Arial Nova" w:cs="Times New Roman"/>
                <w:b/>
                <w:sz w:val="18"/>
                <w:szCs w:val="18"/>
              </w:rPr>
              <w:t>Antibadi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05005FD4" w14:textId="77777777" w:rsidR="00477609" w:rsidRPr="00641B52" w:rsidRDefault="00477609" w:rsidP="00477609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monoklonal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konjuge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edilmemiş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olmalıdır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  <w:p w14:paraId="7A68FBDD" w14:textId="77777777" w:rsidR="00477609" w:rsidRDefault="00477609" w:rsidP="00477609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hostu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fare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isotipi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IgG1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olmalıdır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  <w:r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</w:p>
          <w:p w14:paraId="289341CD" w14:textId="77777777" w:rsidR="00477609" w:rsidRPr="00641B52" w:rsidRDefault="00477609" w:rsidP="00477609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>
              <w:rPr>
                <w:rFonts w:ascii="Arial Nova" w:hAnsi="Arial Nova"/>
                <w:bCs/>
                <w:sz w:val="18"/>
                <w:szCs w:val="18"/>
              </w:rPr>
              <w:t>İ</w:t>
            </w:r>
            <w:r w:rsidRPr="00641B52">
              <w:rPr>
                <w:rFonts w:ascii="Arial Nova" w:hAnsi="Arial Nova"/>
                <w:bCs/>
                <w:sz w:val="18"/>
                <w:szCs w:val="18"/>
              </w:rPr>
              <w:t>mmünojeni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Arabidopsis'ten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saflaştırılmış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aktin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proteini</w:t>
            </w:r>
            <w:proofErr w:type="spellEnd"/>
            <w:r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" w:hAnsi="Arial Nova"/>
                <w:bCs/>
                <w:sz w:val="18"/>
                <w:szCs w:val="18"/>
              </w:rPr>
              <w:t>olmalıdır</w:t>
            </w:r>
            <w:proofErr w:type="spellEnd"/>
            <w:r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  <w:p w14:paraId="34501A55" w14:textId="77777777" w:rsidR="00477609" w:rsidRPr="00641B52" w:rsidRDefault="00477609" w:rsidP="00477609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ova" w:hAnsi="Arial Nova"/>
                <w:bCs/>
                <w:sz w:val="18"/>
                <w:szCs w:val="18"/>
              </w:rPr>
              <w:t>s</w:t>
            </w:r>
            <w:r w:rsidRPr="00641B52">
              <w:rPr>
                <w:rFonts w:ascii="Arial Nova" w:hAnsi="Arial Nova"/>
                <w:bCs/>
                <w:sz w:val="18"/>
                <w:szCs w:val="18"/>
              </w:rPr>
              <w:t>ığır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r w:rsidRPr="00641B52">
              <w:rPr>
                <w:rFonts w:ascii="Arial Nova" w:hAnsi="Arial Nova"/>
                <w:bCs/>
                <w:i/>
                <w:iCs/>
                <w:sz w:val="18"/>
                <w:szCs w:val="18"/>
                <w:u w:val="single"/>
              </w:rPr>
              <w:t xml:space="preserve">Drosophila </w:t>
            </w:r>
            <w:proofErr w:type="spellStart"/>
            <w:r w:rsidRPr="00641B52">
              <w:rPr>
                <w:rFonts w:ascii="Arial Nova" w:hAnsi="Arial Nova"/>
                <w:bCs/>
                <w:i/>
                <w:iCs/>
                <w:sz w:val="18"/>
                <w:szCs w:val="18"/>
                <w:u w:val="single"/>
              </w:rPr>
              <w:t>melonagaster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insan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r>
              <w:rPr>
                <w:rFonts w:ascii="Arial Nova" w:hAnsi="Arial Nova"/>
                <w:bCs/>
                <w:sz w:val="18"/>
                <w:szCs w:val="18"/>
              </w:rPr>
              <w:t>f</w:t>
            </w:r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are, </w:t>
            </w:r>
            <w:proofErr w:type="spellStart"/>
            <w:r>
              <w:rPr>
                <w:rFonts w:ascii="Arial Nova" w:hAnsi="Arial Nova"/>
                <w:bCs/>
                <w:sz w:val="18"/>
                <w:szCs w:val="18"/>
              </w:rPr>
              <w:t>k</w:t>
            </w:r>
            <w:r w:rsidRPr="00641B52">
              <w:rPr>
                <w:rFonts w:ascii="Arial Nova" w:hAnsi="Arial Nova"/>
                <w:bCs/>
                <w:sz w:val="18"/>
                <w:szCs w:val="18"/>
              </w:rPr>
              <w:t>oyun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</w:t>
            </w:r>
            <w:r>
              <w:rPr>
                <w:rFonts w:ascii="Arial Nova" w:hAnsi="Arial Nova"/>
                <w:bCs/>
                <w:sz w:val="18"/>
                <w:szCs w:val="18"/>
              </w:rPr>
              <w:t>b</w:t>
            </w:r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itki, </w:t>
            </w:r>
            <w:proofErr w:type="spellStart"/>
            <w:r>
              <w:rPr>
                <w:rFonts w:ascii="Arial Nova" w:hAnsi="Arial Nova"/>
                <w:bCs/>
                <w:sz w:val="18"/>
                <w:szCs w:val="18"/>
              </w:rPr>
              <w:t>s</w:t>
            </w:r>
            <w:r w:rsidRPr="00641B52">
              <w:rPr>
                <w:rFonts w:ascii="Arial Nova" w:hAnsi="Arial Nova"/>
                <w:bCs/>
                <w:sz w:val="18"/>
                <w:szCs w:val="18"/>
              </w:rPr>
              <w:t>ıçan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Xenopus, </w:t>
            </w:r>
            <w:r>
              <w:rPr>
                <w:rFonts w:ascii="Arial Nova" w:hAnsi="Arial Nova"/>
                <w:bCs/>
                <w:sz w:val="18"/>
                <w:szCs w:val="18"/>
              </w:rPr>
              <w:t>m</w:t>
            </w:r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aya, </w:t>
            </w:r>
            <w:r>
              <w:rPr>
                <w:rFonts w:ascii="Arial Nova" w:hAnsi="Arial Nova"/>
                <w:bCs/>
                <w:sz w:val="18"/>
                <w:szCs w:val="18"/>
              </w:rPr>
              <w:t>Z</w:t>
            </w:r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ebra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Balığı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canlı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türlerinde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çalışabilmelidir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  <w:p w14:paraId="000F05F3" w14:textId="77777777" w:rsidR="00477609" w:rsidRPr="00641B52" w:rsidRDefault="00477609" w:rsidP="00477609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, Western Blot (WB),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İmmünohistokimya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(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Parafin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) (IHC (P)),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İmmünositokimya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(ICC)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Akış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Sitometrisi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(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Akış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) ELISA (ELISA)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İmmünopresipitasyon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(IP)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uygulamalarında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çalışmalıdır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  <w:p w14:paraId="5B63F14D" w14:textId="77777777" w:rsidR="00477609" w:rsidRDefault="00477609" w:rsidP="00477609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Ürün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saklama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koşullarına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uygun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olarak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teslim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edilmelidir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  <w:p w14:paraId="242CEF64" w14:textId="77777777" w:rsidR="00477609" w:rsidRPr="00641B52" w:rsidRDefault="00477609" w:rsidP="00477609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Arial Nova" w:hAnsi="Arial Nova"/>
                <w:bCs/>
                <w:sz w:val="18"/>
                <w:szCs w:val="18"/>
              </w:rPr>
            </w:pP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Teklif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veren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firma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yetkili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distribütör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 xml:space="preserve"> </w:t>
            </w:r>
            <w:proofErr w:type="spellStart"/>
            <w:r w:rsidRPr="00641B52">
              <w:rPr>
                <w:rFonts w:ascii="Arial Nova" w:hAnsi="Arial Nova"/>
                <w:bCs/>
                <w:sz w:val="18"/>
                <w:szCs w:val="18"/>
              </w:rPr>
              <w:t>olmalıdır</w:t>
            </w:r>
            <w:proofErr w:type="spellEnd"/>
            <w:r w:rsidRPr="00641B52">
              <w:rPr>
                <w:rFonts w:ascii="Arial Nova" w:hAnsi="Arial Nova"/>
                <w:bCs/>
                <w:sz w:val="18"/>
                <w:szCs w:val="18"/>
              </w:rPr>
              <w:t>.</w:t>
            </w:r>
          </w:p>
        </w:tc>
      </w:tr>
    </w:tbl>
    <w:p w14:paraId="78E87CB9" w14:textId="77777777" w:rsidR="00477609" w:rsidRDefault="00477609" w:rsidP="00477609"/>
    <w:p w14:paraId="5BB9DA59" w14:textId="77777777" w:rsidR="00713BCB" w:rsidRDefault="00713BCB"/>
    <w:sectPr w:rsidR="0071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142"/>
    <w:multiLevelType w:val="hybridMultilevel"/>
    <w:tmpl w:val="7880435E"/>
    <w:lvl w:ilvl="0" w:tplc="0F66233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ADE0776"/>
    <w:multiLevelType w:val="hybridMultilevel"/>
    <w:tmpl w:val="EE4C906C"/>
    <w:lvl w:ilvl="0" w:tplc="D38C3B9C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6" w:hanging="360"/>
      </w:pPr>
    </w:lvl>
    <w:lvl w:ilvl="2" w:tplc="041F001B" w:tentative="1">
      <w:start w:val="1"/>
      <w:numFmt w:val="lowerRoman"/>
      <w:lvlText w:val="%3."/>
      <w:lvlJc w:val="right"/>
      <w:pPr>
        <w:ind w:left="2206" w:hanging="180"/>
      </w:pPr>
    </w:lvl>
    <w:lvl w:ilvl="3" w:tplc="041F000F" w:tentative="1">
      <w:start w:val="1"/>
      <w:numFmt w:val="decimal"/>
      <w:lvlText w:val="%4."/>
      <w:lvlJc w:val="left"/>
      <w:pPr>
        <w:ind w:left="2926" w:hanging="360"/>
      </w:pPr>
    </w:lvl>
    <w:lvl w:ilvl="4" w:tplc="041F0019" w:tentative="1">
      <w:start w:val="1"/>
      <w:numFmt w:val="lowerLetter"/>
      <w:lvlText w:val="%5."/>
      <w:lvlJc w:val="left"/>
      <w:pPr>
        <w:ind w:left="3646" w:hanging="360"/>
      </w:pPr>
    </w:lvl>
    <w:lvl w:ilvl="5" w:tplc="041F001B" w:tentative="1">
      <w:start w:val="1"/>
      <w:numFmt w:val="lowerRoman"/>
      <w:lvlText w:val="%6."/>
      <w:lvlJc w:val="right"/>
      <w:pPr>
        <w:ind w:left="4366" w:hanging="180"/>
      </w:pPr>
    </w:lvl>
    <w:lvl w:ilvl="6" w:tplc="041F000F" w:tentative="1">
      <w:start w:val="1"/>
      <w:numFmt w:val="decimal"/>
      <w:lvlText w:val="%7."/>
      <w:lvlJc w:val="left"/>
      <w:pPr>
        <w:ind w:left="5086" w:hanging="360"/>
      </w:pPr>
    </w:lvl>
    <w:lvl w:ilvl="7" w:tplc="041F0019" w:tentative="1">
      <w:start w:val="1"/>
      <w:numFmt w:val="lowerLetter"/>
      <w:lvlText w:val="%8."/>
      <w:lvlJc w:val="left"/>
      <w:pPr>
        <w:ind w:left="5806" w:hanging="360"/>
      </w:pPr>
    </w:lvl>
    <w:lvl w:ilvl="8" w:tplc="041F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09"/>
    <w:rsid w:val="002A238D"/>
    <w:rsid w:val="00477609"/>
    <w:rsid w:val="005D17EE"/>
    <w:rsid w:val="007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6523"/>
  <w15:chartTrackingRefBased/>
  <w15:docId w15:val="{F2733C23-09AC-4F54-84BB-FD6BF556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0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609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2022-08-18T11:40:00Z</dcterms:created>
  <dcterms:modified xsi:type="dcterms:W3CDTF">2022-08-18T11:41:00Z</dcterms:modified>
</cp:coreProperties>
</file>